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698" w:rsidRDefault="002D1698" w:rsidP="002D1698">
      <w:pPr>
        <w:tabs>
          <w:tab w:val="left" w:pos="142"/>
        </w:tabs>
        <w:spacing w:line="276" w:lineRule="auto"/>
        <w:ind w:left="142" w:hanging="142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444CA">
        <w:rPr>
          <w:b/>
          <w:sz w:val="28"/>
          <w:szCs w:val="28"/>
        </w:rPr>
        <w:t>Перечень врачей-специалистов и дополнительных медицинских противопоказаний</w:t>
      </w:r>
      <w:r>
        <w:rPr>
          <w:b/>
          <w:sz w:val="28"/>
          <w:szCs w:val="28"/>
        </w:rPr>
        <w:t xml:space="preserve">, </w:t>
      </w:r>
      <w:r w:rsidRPr="00F53329">
        <w:rPr>
          <w:sz w:val="28"/>
          <w:szCs w:val="28"/>
        </w:rPr>
        <w:t>для поступающих на специальность 40.02.02 «Правоохранительная деятельность».</w:t>
      </w:r>
    </w:p>
    <w:p w:rsidR="002D1698" w:rsidRPr="004D28A5" w:rsidRDefault="002D1698" w:rsidP="002D1698">
      <w:pPr>
        <w:tabs>
          <w:tab w:val="left" w:pos="142"/>
        </w:tabs>
        <w:spacing w:line="276" w:lineRule="auto"/>
        <w:ind w:left="142" w:hanging="142"/>
        <w:contextualSpacing/>
        <w:jc w:val="both"/>
        <w:rPr>
          <w:b/>
          <w:i/>
        </w:rPr>
      </w:pPr>
      <w:r w:rsidRPr="004D28A5">
        <w:rPr>
          <w:i/>
        </w:rPr>
        <w:t xml:space="preserve">  (Постановление Правительства Российской Федерации от 14 августа 2013 г. №697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специальности»)</w:t>
      </w:r>
    </w:p>
    <w:p w:rsidR="002D1698" w:rsidRPr="004D28A5" w:rsidRDefault="002D1698" w:rsidP="002D1698">
      <w:pPr>
        <w:tabs>
          <w:tab w:val="left" w:pos="142"/>
        </w:tabs>
        <w:spacing w:line="276" w:lineRule="auto"/>
        <w:contextualSpacing/>
        <w:jc w:val="both"/>
        <w:rPr>
          <w:i/>
        </w:rPr>
      </w:pPr>
    </w:p>
    <w:p w:rsidR="002D1698" w:rsidRPr="002D1698" w:rsidRDefault="002D1698" w:rsidP="002D1698">
      <w:pPr>
        <w:tabs>
          <w:tab w:val="left" w:pos="142"/>
        </w:tabs>
        <w:spacing w:line="276" w:lineRule="auto"/>
        <w:ind w:left="142" w:hanging="142"/>
        <w:contextualSpacing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D28A5">
        <w:rPr>
          <w:sz w:val="24"/>
          <w:szCs w:val="24"/>
        </w:rPr>
        <w:t xml:space="preserve">При поступлении на обучение по специальности 40.02.02 «Правоохранительная деятельность», поступающие предоставляют оригинал или копию </w:t>
      </w:r>
      <w:r w:rsidRPr="004D28A5">
        <w:rPr>
          <w:sz w:val="24"/>
          <w:szCs w:val="24"/>
          <w:u w:val="single"/>
        </w:rPr>
        <w:t xml:space="preserve">медицинского заключения по п.9 Приложения 2, и по п.4.1. Приложения 1, </w:t>
      </w:r>
      <w:r w:rsidRPr="004D28A5">
        <w:rPr>
          <w:sz w:val="24"/>
          <w:szCs w:val="24"/>
        </w:rPr>
        <w:t xml:space="preserve">содержащего сведения о проведении медицинского осмотра в соответствии с перечнем врачей-специалистов, лабораторных и функциональных исследований, установленным приказом Министерства здравоохранения и социального развития Российской Федерации от 12 апреля 2011 г. № 302н с пометкой </w:t>
      </w:r>
      <w:r w:rsidRPr="004D28A5">
        <w:rPr>
          <w:b/>
          <w:sz w:val="24"/>
          <w:szCs w:val="24"/>
        </w:rPr>
        <w:t>«противопоказаний не выявлено».</w:t>
      </w:r>
      <w:r w:rsidRPr="004D28A5">
        <w:rPr>
          <w:sz w:val="24"/>
          <w:szCs w:val="24"/>
        </w:rPr>
        <w:t xml:space="preserve"> </w:t>
      </w:r>
      <w:r>
        <w:t xml:space="preserve"> </w:t>
      </w:r>
      <w:r w:rsidRPr="004D28A5">
        <w:rPr>
          <w:sz w:val="24"/>
          <w:szCs w:val="24"/>
        </w:rPr>
        <w:t xml:space="preserve">(Медицинская справка признается действительной, если она получена не ранее года до дня </w:t>
      </w:r>
      <w:r>
        <w:t xml:space="preserve">   </w:t>
      </w:r>
      <w:r w:rsidRPr="004D28A5">
        <w:rPr>
          <w:sz w:val="24"/>
          <w:szCs w:val="24"/>
        </w:rPr>
        <w:t>завершения приема документов и вступительных испытаний).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7820"/>
      </w:tblGrid>
      <w:tr w:rsidR="002D1698" w:rsidRPr="004D28A5" w:rsidTr="003750E5">
        <w:tc>
          <w:tcPr>
            <w:tcW w:w="1980" w:type="dxa"/>
          </w:tcPr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Участие врачей-специалистов</w:t>
            </w:r>
          </w:p>
        </w:tc>
        <w:tc>
          <w:tcPr>
            <w:tcW w:w="8221" w:type="dxa"/>
          </w:tcPr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Терапевт, </w:t>
            </w:r>
            <w:proofErr w:type="spellStart"/>
            <w:r w:rsidRPr="002D1698">
              <w:rPr>
                <w:color w:val="000000"/>
              </w:rPr>
              <w:t>Оториноларинголог</w:t>
            </w:r>
            <w:proofErr w:type="spellEnd"/>
            <w:r w:rsidRPr="002D1698">
              <w:rPr>
                <w:color w:val="000000"/>
              </w:rPr>
              <w:t>, Невролог, Офтальмолог, Хирург, Психиатр, Нарколог, Стоматолог</w:t>
            </w:r>
          </w:p>
        </w:tc>
      </w:tr>
      <w:tr w:rsidR="002D1698" w:rsidRPr="004D28A5" w:rsidTr="003750E5">
        <w:tc>
          <w:tcPr>
            <w:tcW w:w="1980" w:type="dxa"/>
          </w:tcPr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Лабораторные и функциональные исследования</w:t>
            </w:r>
          </w:p>
        </w:tc>
        <w:tc>
          <w:tcPr>
            <w:tcW w:w="8221" w:type="dxa"/>
          </w:tcPr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Спирометрия, Исследование вестибулярного анализатора, Острота зрения, Аудиометрия, Динамометрия</w:t>
            </w:r>
          </w:p>
        </w:tc>
      </w:tr>
      <w:tr w:rsidR="002D1698" w:rsidRPr="004D28A5" w:rsidTr="003750E5">
        <w:tc>
          <w:tcPr>
            <w:tcW w:w="1980" w:type="dxa"/>
          </w:tcPr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Дополнительные медицинские противопоказания</w:t>
            </w:r>
          </w:p>
        </w:tc>
        <w:tc>
          <w:tcPr>
            <w:tcW w:w="8221" w:type="dxa"/>
          </w:tcPr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Заболевания сердечно-сосудистой системы, даже при наличии компенсации.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Заболевания скелетно-мышечной системы с частотой обострения 3 раза и более за календарный год.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Облитерирующие заболевания сосудов вне зависимости от степени компенсации.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 xml:space="preserve">Болезнь и синдром </w:t>
            </w:r>
            <w:proofErr w:type="spellStart"/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Рейно</w:t>
            </w:r>
            <w:proofErr w:type="spellEnd"/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Варикозное расширение вен нижних конечностей, тромбофлебит, геморрой.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Выраженный энтероптоз, грыжи, выпадение прямой кишки.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Опущение (выпадение) женских половых органов.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Хронические воспалительные заболевания матки и придатков с частотой обострения 3 раза и более за календарный год.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Гипертоническая болезнь III стадии, 2 степени, риск III.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Хронические болезни сердца и перикарда с недостаточностью кровообращения I - II степени.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Ишемическая болезнь сердца: стенокардия ФК II, риск средний.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Миопия высокой степени или осложненная близорукость.</w:t>
            </w:r>
          </w:p>
          <w:p w:rsidR="002D1698" w:rsidRPr="002D1698" w:rsidRDefault="002D1698" w:rsidP="002D1698">
            <w:pPr>
              <w:pStyle w:val="ConsPlusNormal"/>
              <w:numPr>
                <w:ilvl w:val="0"/>
                <w:numId w:val="1"/>
              </w:numPr>
              <w:ind w:left="391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98">
              <w:rPr>
                <w:rFonts w:ascii="Times New Roman" w:hAnsi="Times New Roman" w:cs="Times New Roman"/>
                <w:sz w:val="24"/>
                <w:szCs w:val="24"/>
              </w:rPr>
              <w:t>Дистрофические изменения сетчатки.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t>Нарушения функции вестибулярного аппарата любой этиологии.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Хронические заболевания органов дыхания с частотой обострения 3 раза и более за календарный год.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Болезни зубов, полости рта, отсутствие зубов, мешающие захвату загубника, наличие съемных протезов, альвеолярная </w:t>
            </w:r>
            <w:proofErr w:type="spellStart"/>
            <w:r w:rsidRPr="002D1698">
              <w:rPr>
                <w:color w:val="000000"/>
              </w:rPr>
              <w:t>пиоррея</w:t>
            </w:r>
            <w:proofErr w:type="spellEnd"/>
            <w:r w:rsidRPr="002D1698">
              <w:rPr>
                <w:color w:val="000000"/>
              </w:rPr>
              <w:t xml:space="preserve">, </w:t>
            </w:r>
            <w:r w:rsidRPr="002D1698">
              <w:rPr>
                <w:color w:val="000000"/>
              </w:rPr>
              <w:lastRenderedPageBreak/>
              <w:t xml:space="preserve">стоматиты, </w:t>
            </w:r>
            <w:proofErr w:type="spellStart"/>
            <w:r w:rsidRPr="002D1698">
              <w:rPr>
                <w:color w:val="000000"/>
              </w:rPr>
              <w:t>периодониты</w:t>
            </w:r>
            <w:proofErr w:type="spellEnd"/>
            <w:r w:rsidRPr="002D1698">
              <w:rPr>
                <w:color w:val="000000"/>
              </w:rPr>
              <w:t>, анкилозы и контрактуры нижней челюсти, челюстной артрит.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Общее физическое недоразвитие и недоразвитие опорно-двигательного аппарата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Доброкачественные новообразования, препятствующие выполнению работ в противогазах.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Грыжи (все виды).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Варикозная болезнь и рецидивирующий тромбофлебит нижних конечностей и геморроидальных вен. 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Лимфангиит и другие нарушения </w:t>
            </w:r>
            <w:proofErr w:type="spellStart"/>
            <w:r w:rsidRPr="002D1698">
              <w:rPr>
                <w:color w:val="000000"/>
              </w:rPr>
              <w:t>лимфооттока</w:t>
            </w:r>
            <w:proofErr w:type="spellEnd"/>
            <w:r w:rsidRPr="002D1698">
              <w:rPr>
                <w:color w:val="000000"/>
              </w:rPr>
              <w:t>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Искривление носовой перегородки с нарушением функций носового дыхания.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Хронические заболевания верхних дыхательных путей с частотой обострения 3 раза и более за календарный год.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Хронические заболевания среднего уха.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Стойкое понижение слуха (3 и более месяца) любой этиологии одно- и двустороннее (острота слуха: шепотная речь не менее 3 м).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Понижение остроты зрения ниже 0,8 на одном глазу и ниже 0,5 – на другом, коррекция не допускается.</w:t>
            </w:r>
            <w:bookmarkStart w:id="0" w:name="_GoBack"/>
            <w:bookmarkEnd w:id="0"/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Хронические заболевания </w:t>
            </w:r>
            <w:proofErr w:type="spellStart"/>
            <w:r w:rsidRPr="002D1698">
              <w:rPr>
                <w:color w:val="000000"/>
              </w:rPr>
              <w:t>слезовыводящих</w:t>
            </w:r>
            <w:proofErr w:type="spellEnd"/>
            <w:r w:rsidRPr="002D1698">
              <w:rPr>
                <w:color w:val="000000"/>
              </w:rPr>
              <w:t xml:space="preserve"> путей, век, органические недостатки век, препятствующие полному их смыканию, свободному движению глазного яблока.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Ограничение поля зрения более чем на 20</w:t>
            </w:r>
            <w:r w:rsidRPr="002D1698">
              <w:rPr>
                <w:color w:val="000000"/>
                <w:vertAlign w:val="superscript"/>
              </w:rPr>
              <w:t xml:space="preserve">0 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Болезни эндокринной системы, требующие постоянной лекарственной коррекции.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 xml:space="preserve">Заболевания любой этиологии вызывающие нарушения вестибулярного аппарата, синдромы головокружения, нистагм (болезнь </w:t>
            </w:r>
            <w:proofErr w:type="spellStart"/>
            <w:r w:rsidRPr="002D1698">
              <w:rPr>
                <w:color w:val="000000"/>
              </w:rPr>
              <w:t>Меньера</w:t>
            </w:r>
            <w:proofErr w:type="spellEnd"/>
            <w:r w:rsidRPr="002D1698">
              <w:rPr>
                <w:color w:val="000000"/>
              </w:rPr>
              <w:t>, лабиринтиты, вестибулярные кризы любой этиологии и др.)</w:t>
            </w:r>
          </w:p>
          <w:p w:rsidR="002D1698" w:rsidRPr="002D1698" w:rsidRDefault="002D1698" w:rsidP="002D1698">
            <w:pPr>
              <w:pStyle w:val="a4"/>
              <w:numPr>
                <w:ilvl w:val="0"/>
                <w:numId w:val="1"/>
              </w:numPr>
              <w:spacing w:line="276" w:lineRule="auto"/>
              <w:ind w:left="391" w:hanging="357"/>
              <w:jc w:val="both"/>
              <w:rPr>
                <w:color w:val="000000"/>
              </w:rPr>
            </w:pPr>
            <w:r w:rsidRPr="002D1698">
              <w:rPr>
                <w:color w:val="000000"/>
              </w:rPr>
              <w:t>Хронические заболевания периферической нервной системы с частотой обострения 3 раза и более за календарный год.</w:t>
            </w:r>
          </w:p>
          <w:p w:rsidR="002D1698" w:rsidRPr="002D1698" w:rsidRDefault="002D1698" w:rsidP="003750E5">
            <w:pPr>
              <w:pStyle w:val="a4"/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2764F3" w:rsidRDefault="002764F3"/>
    <w:sectPr w:rsidR="002764F3" w:rsidSect="002D16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761CB"/>
    <w:multiLevelType w:val="hybridMultilevel"/>
    <w:tmpl w:val="CF0A69B0"/>
    <w:lvl w:ilvl="0" w:tplc="A4A250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8"/>
    <w:rsid w:val="002764F3"/>
    <w:rsid w:val="002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4347-DC38-4345-B004-EAAE39D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6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D1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D16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 Ирина Адамовна</dc:creator>
  <cp:keywords/>
  <dc:description/>
  <cp:lastModifiedBy>Гриб Ирина Адамовна</cp:lastModifiedBy>
  <cp:revision>1</cp:revision>
  <dcterms:created xsi:type="dcterms:W3CDTF">2017-05-04T08:55:00Z</dcterms:created>
  <dcterms:modified xsi:type="dcterms:W3CDTF">2017-05-04T08:58:00Z</dcterms:modified>
</cp:coreProperties>
</file>